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Liability in Healthcare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1.</w:t>
      </w:r>
      <w:r>
        <w:rPr>
          <w:rFonts w:ascii="Times New Roman" w:cs="Times New Roman" w:hAnsi="Times New Roman"/>
          <w:b/>
          <w:sz w:val="24"/>
          <w:szCs w:val="24"/>
        </w:rPr>
        <w:t xml:space="preserve"> What type of business association do healthcare institutions frequently elect, and please identify at least two legal reasons for their selecting this business model?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healthcare institutions frequently elect corporate status because their employees benefit from liability protection, federal and state advantages, and also assist the organizations with governance advantages. According to </w:t>
      </w:r>
      <w:r>
        <w:rPr>
          <w:rFonts w:ascii="Times New Roman" w:cs="Times New Roman" w:hAnsi="Times New Roman"/>
          <w:sz w:val="24"/>
          <w:szCs w:val="24"/>
        </w:rPr>
        <w:t>Gray</w:t>
      </w:r>
      <w:r>
        <w:rPr>
          <w:rFonts w:ascii="Times New Roman" w:cs="Times New Roman" w:hAnsi="Times New Roman"/>
          <w:sz w:val="24"/>
          <w:szCs w:val="24"/>
        </w:rPr>
        <w:t xml:space="preserve"> (1983), the main purpose of state corporate laws is to protect the rights of the shareholders. Corporate status refers to the condition that the status of a person, whether a manager or officer, is serving in the capacity and interest of the organization he works or worked for. Many healthcare organizations like to enjoy the benefits that the corporate status brings including perpetual existence and limited liability. In terms of liability, the corporate status of a healthcare institution helps its shareholders to prevent situations that may result in personal liability emanating from contractual obligations, debts, negligence, and any other wrongful acts of the corporation. With the corporate status, the only money that a shareholder can lose is the value of the stock only. Secondly, corporate status helps the organization with a perpetual existence because it distinctively provides separation of the individual person and the organization in the eyes of the law. As such, it enables the company to make long-term plans.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legal reasons why a healthcare institution may choose to elect a corporate status as a business model include liability protection and federal and state tax advantages. As mentioned in the previous paragraph, corporate status is associated with limited liability because the shareholders do not need to worry about being personally liable for the contractual obligations and wrongful acts of the institutions. Secondly, under Section 501(c</w:t>
      </w:r>
      <w:r>
        <w:rPr>
          <w:rFonts w:ascii="Times New Roman" w:cs="Times New Roman" w:hAnsi="Times New Roman"/>
          <w:sz w:val="24"/>
          <w:szCs w:val="24"/>
        </w:rPr>
        <w:t>)(</w:t>
      </w:r>
      <w:r>
        <w:rPr>
          <w:rFonts w:ascii="Times New Roman" w:cs="Times New Roman" w:hAnsi="Times New Roman"/>
          <w:sz w:val="24"/>
          <w:szCs w:val="24"/>
        </w:rPr>
        <w:t xml:space="preserve">3) of the Internal Revenue Code, healthcare institutions under the corporate status model are exempted </w:t>
      </w:r>
      <w:r>
        <w:rPr>
          <w:rFonts w:ascii="Times New Roman" w:cs="Times New Roman" w:hAnsi="Times New Roman"/>
          <w:sz w:val="24"/>
          <w:szCs w:val="24"/>
        </w:rPr>
        <w:t>from federal income tax (</w:t>
      </w:r>
      <w:r>
        <w:rPr>
          <w:rFonts w:ascii="Times New Roman" w:cs="Times New Roman" w:hAnsi="Times New Roman"/>
          <w:sz w:val="24"/>
          <w:szCs w:val="24"/>
        </w:rPr>
        <w:t>Gray</w:t>
      </w:r>
      <w:r>
        <w:rPr>
          <w:rFonts w:ascii="Times New Roman" w:cs="Times New Roman" w:hAnsi="Times New Roman"/>
          <w:sz w:val="24"/>
          <w:szCs w:val="24"/>
        </w:rPr>
        <w:t>, 1983). Despite that the amount of tax exempted is not great, but as a corporate, especially the big ones, any exemption can make a great difference.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2. </w:t>
      </w:r>
      <w:r>
        <w:rPr>
          <w:rFonts w:ascii="Times New Roman" w:cs="Times New Roman" w:hAnsi="Times New Roman"/>
          <w:b/>
          <w:sz w:val="24"/>
          <w:szCs w:val="24"/>
        </w:rPr>
        <w:t xml:space="preserve"> What are the committees that a hospital governing board </w:t>
      </w:r>
      <w:r>
        <w:rPr>
          <w:rFonts w:ascii="Times New Roman" w:cs="Times New Roman" w:hAnsi="Times New Roman"/>
          <w:b/>
          <w:sz w:val="24"/>
          <w:szCs w:val="24"/>
        </w:rPr>
        <w:t>oversees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hospital governing board is charged with the responsibility of overseeing the finance committee, safety and equality committee, audit and compliance committee, and strategic planning committee. Committees are considered important, especially in a corporate status institution. </w:t>
      </w:r>
      <w:r>
        <w:rPr>
          <w:rFonts w:ascii="Times New Roman" w:cs="Times New Roman" w:hAnsi="Times New Roman"/>
          <w:sz w:val="24"/>
          <w:szCs w:val="24"/>
        </w:rPr>
        <w:t>Culica</w:t>
      </w:r>
      <w:r>
        <w:rPr>
          <w:rFonts w:ascii="Times New Roman" w:cs="Times New Roman" w:hAnsi="Times New Roman"/>
          <w:sz w:val="24"/>
          <w:szCs w:val="24"/>
        </w:rPr>
        <w:t xml:space="preserve"> and </w:t>
      </w:r>
      <w:r>
        <w:rPr>
          <w:rFonts w:ascii="Times New Roman" w:cs="Times New Roman" w:hAnsi="Times New Roman"/>
          <w:sz w:val="24"/>
          <w:szCs w:val="24"/>
        </w:rPr>
        <w:t>Prezio</w:t>
      </w:r>
      <w:r>
        <w:rPr>
          <w:rFonts w:ascii="Times New Roman" w:cs="Times New Roman" w:hAnsi="Times New Roman"/>
          <w:sz w:val="24"/>
          <w:szCs w:val="24"/>
        </w:rPr>
        <w:t xml:space="preserve"> (2009) explain that due to the increased stake of boards in the healthcare industry, the important role they play in managing the committees that ensure effective service delivery and compliance is very evident. According to the authors, and effective hospital board is determined by the high financial performance because this is one of the important committees that they oversee and is associated with every aspect of the institution’s management and operations. The board of trustees or directors is expected to perform the following roles in regards to financial, audit, and strategic planning committees: Identify and specify the specific financial objectives, review and align the firm’s management financial plans, enhance the institution’s creditworthiness, ensure that there is equitable financial resource allocation, monitor the financial performance, and verify the financial statements at the end of the financial year (</w:t>
      </w:r>
      <w:r>
        <w:rPr>
          <w:rFonts w:ascii="Times New Roman" w:cs="Times New Roman" w:hAnsi="Times New Roman"/>
          <w:sz w:val="24"/>
          <w:szCs w:val="24"/>
        </w:rPr>
        <w:t>Culica</w:t>
      </w:r>
      <w:r>
        <w:rPr>
          <w:rFonts w:ascii="Times New Roman" w:cs="Times New Roman" w:hAnsi="Times New Roman"/>
          <w:sz w:val="24"/>
          <w:szCs w:val="24"/>
        </w:rPr>
        <w:t xml:space="preserve"> &amp; </w:t>
      </w:r>
      <w:r>
        <w:rPr>
          <w:rFonts w:ascii="Times New Roman" w:cs="Times New Roman" w:hAnsi="Times New Roman"/>
          <w:sz w:val="24"/>
          <w:szCs w:val="24"/>
        </w:rPr>
        <w:t>Prezio</w:t>
      </w:r>
      <w:r>
        <w:rPr>
          <w:rFonts w:ascii="Times New Roman" w:cs="Times New Roman" w:hAnsi="Times New Roman"/>
          <w:sz w:val="24"/>
          <w:szCs w:val="24"/>
        </w:rPr>
        <w:t xml:space="preserve">, 2009).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same way, the hospital is responsible for the health wellbeing of the patients who visit the institution, the board of trustees ensures that the hospital is at a healthy financial status and that there is a strong process of operations, planning, budgeting, and monitoring is established. As such, the board members are expected to have knowledge of the key variances in the financial performance and other committees that they oversee. Even though most of the board of trustee members are not financial experts, they can still have the financial evaluation </w:t>
      </w:r>
      <w:r>
        <w:rPr>
          <w:rFonts w:ascii="Times New Roman" w:cs="Times New Roman" w:hAnsi="Times New Roman"/>
          <w:sz w:val="24"/>
          <w:szCs w:val="24"/>
        </w:rPr>
        <w:t>information that they need to oversee the financial performance and expenditures through outsourcing the auditing tools or personnel from another institution. However, it is important that the board members to have a business and other backgrounds that can help them effectively perform their overseeing role.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3. </w:t>
      </w:r>
      <w:r>
        <w:rPr>
          <w:rFonts w:ascii="Times New Roman" w:cs="Times New Roman" w:hAnsi="Times New Roman"/>
          <w:b/>
          <w:sz w:val="24"/>
          <w:szCs w:val="24"/>
        </w:rPr>
        <w:t xml:space="preserve"> What is credentialing and how does the process apply to a hospital’s medical staff?</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According to Patel and Sharma (2019), credentialing is defined as a formal process that uses an established series of guidelines to ensure that customers get the best and highest level of care from the caregivers who have undergone the training and assessment to enable them to practice medicine. Patel and Sharma (2019) further explain that credentialing ensures that customers are given the best of services by qualified providers. In the healthcare sector, credentialing involves the provision of healthcare services to patients by qualified healthcare providers. As Patel and Sharma (2019) explain, credentialing assures patients that the services they are given in the healthcare institutions they visit are of high standards and given by qualified, licensed, and trained personnel with the ability to practice medicine.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current medical practice, credentialing is important because it ensures that healthcare institutions are able to provide patients with safe healthcare services while also working towards delivering an acceptable standard of care (Patel &amp; Sharma, 2019). Credentialing, in a healthcare setup, ensures that medical institutions employ excellent staff and the institution is working and operating within the existing laws. As such, credentialing is said to be an important and vital process in all healthcare institutions because it ensures that all healthcare providers are qualified and licensed to do so. Based on the several cases that have been reported in the literature about bogus medical practitioners or falsified experiences with the medical professionals who are expected to give their services has proven beyond a reasonable </w:t>
      </w:r>
      <w:r>
        <w:rPr>
          <w:rFonts w:ascii="Times New Roman" w:cs="Times New Roman" w:hAnsi="Times New Roman"/>
          <w:sz w:val="24"/>
          <w:szCs w:val="24"/>
        </w:rPr>
        <w:t>doubt that credentialing can serve as an important aspect of healthcare management. As Patel and Sharma (2019) explain, credentialing has been used in the healthcare sector for many years, but over the last two decades, it has become a complex and onerous because of the expansion of the service delivery by the healthcare practitioners, the accrediting bodies, and other stakeholders.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4.  </w:t>
      </w:r>
      <w:r>
        <w:rPr>
          <w:rFonts w:ascii="Times New Roman" w:cs="Times New Roman" w:hAnsi="Times New Roman"/>
          <w:b/>
          <w:sz w:val="24"/>
          <w:szCs w:val="24"/>
        </w:rPr>
        <w:t>What is vicarious liability and how might ostensible agency and respondent superior apply in a hospital setting?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Vicarious liability is understood as a form of strict or secondary liability associated with the common law doctrine of an agency. According to Thornton (2010), liability exposure, in a healthcare setting, is rarely a simple matter. Professionals in the sector can be seriously devastated by the effects of liability exposure. Vicarious liability often involves an employer-employee relationship, but it can also apply to the other situations where a superior is liable for the actions of a subordinate. Therefore, vicarious can apply whenever a third party is considered to have a right and duty to control the acts of the considered negligent person. According to Thornton (2010), vicarious liability is a common law that explains that the employer can be held liable for the negligent acts of the employees. Under the </w:t>
      </w:r>
      <w:r>
        <w:rPr>
          <w:rFonts w:ascii="Times New Roman" w:cs="Times New Roman" w:hAnsi="Times New Roman"/>
          <w:sz w:val="24"/>
          <w:szCs w:val="24"/>
        </w:rPr>
        <w:t>respondeat</w:t>
      </w:r>
      <w:r>
        <w:rPr>
          <w:rFonts w:ascii="Times New Roman" w:cs="Times New Roman" w:hAnsi="Times New Roman"/>
          <w:sz w:val="24"/>
          <w:szCs w:val="24"/>
        </w:rPr>
        <w:t xml:space="preserve"> superior, vicarious liability law applies when an employer is liable for the negligent act of the employees of the employee was acting within the scope or with the consent of the employer or organization. In this case, the vicarious theory of liability can apply because the finding of liability is not entirely based on any inappropriate action by the employer. Instead, the underlying principle of </w:t>
      </w:r>
      <w:r>
        <w:rPr>
          <w:rFonts w:ascii="Times New Roman" w:cs="Times New Roman" w:hAnsi="Times New Roman"/>
          <w:sz w:val="24"/>
          <w:szCs w:val="24"/>
        </w:rPr>
        <w:t>respondeat</w:t>
      </w:r>
      <w:r>
        <w:rPr>
          <w:rFonts w:ascii="Times New Roman" w:cs="Times New Roman" w:hAnsi="Times New Roman"/>
          <w:sz w:val="24"/>
          <w:szCs w:val="24"/>
        </w:rPr>
        <w:t xml:space="preserve"> superior is that the cost of inappropriate actions committed by the employer in the conduct of the business should be borne by the organization or employer.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regards to the </w:t>
      </w:r>
      <w:r>
        <w:rPr>
          <w:rFonts w:ascii="Times New Roman" w:cs="Times New Roman" w:hAnsi="Times New Roman"/>
          <w:sz w:val="24"/>
          <w:szCs w:val="24"/>
        </w:rPr>
        <w:t>Oestensible</w:t>
      </w:r>
      <w:r>
        <w:rPr>
          <w:rFonts w:ascii="Times New Roman" w:cs="Times New Roman" w:hAnsi="Times New Roman"/>
          <w:sz w:val="24"/>
          <w:szCs w:val="24"/>
        </w:rPr>
        <w:t xml:space="preserve"> agency, vicarious liability can apply if the person involved in the misconduct is an agent of the organization. In this case, the manifestation of this kind of liability occurs only to the third person or to the community at large. Physicians can be regarded as ostensible agents of healthcare institutions, especially when the physician is an independent contractor or offers an independent medical opinion. Cases that end up being decided under the ostensible agency liability is based on whether the patient looked to the institution to get medical care or just as a location to be treated by a physician.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5.  </w:t>
      </w:r>
      <w:r>
        <w:rPr>
          <w:rFonts w:ascii="Times New Roman" w:cs="Times New Roman" w:hAnsi="Times New Roman"/>
          <w:b/>
          <w:sz w:val="24"/>
          <w:szCs w:val="24"/>
        </w:rPr>
        <w:t>What are the legal theories of liability for hospital corporation negligence?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Corporate negligence has been recognized and identified in the health sector for many years. According to </w:t>
      </w:r>
      <w:r>
        <w:rPr>
          <w:rFonts w:ascii="Times New Roman" w:cs="Times New Roman" w:hAnsi="Times New Roman"/>
          <w:sz w:val="24"/>
          <w:szCs w:val="24"/>
        </w:rPr>
        <w:t>Shensky</w:t>
      </w:r>
      <w:r>
        <w:rPr>
          <w:rFonts w:ascii="Times New Roman" w:cs="Times New Roman" w:hAnsi="Times New Roman"/>
          <w:sz w:val="24"/>
          <w:szCs w:val="24"/>
        </w:rPr>
        <w:t xml:space="preserve"> (2015), corporate negligence was recognized as a cause of action in 1991 by the Pennsylvania Supreme Court in the case of Thompson v. </w:t>
      </w:r>
      <w:r>
        <w:rPr>
          <w:rFonts w:ascii="Times New Roman" w:cs="Times New Roman" w:hAnsi="Times New Roman"/>
          <w:sz w:val="24"/>
          <w:szCs w:val="24"/>
        </w:rPr>
        <w:t>Nason</w:t>
      </w:r>
      <w:r>
        <w:rPr>
          <w:rFonts w:ascii="Times New Roman" w:cs="Times New Roman" w:hAnsi="Times New Roman"/>
          <w:sz w:val="24"/>
          <w:szCs w:val="24"/>
        </w:rPr>
        <w:t xml:space="preserve"> Hospital. According to the author, corporate negligence is a situation where the hospital is considered liable for liability that results from its failure to uphold proper standards of healthcare service delivery. According to </w:t>
      </w:r>
      <w:r>
        <w:rPr>
          <w:rFonts w:ascii="Times New Roman" w:cs="Times New Roman" w:hAnsi="Times New Roman"/>
          <w:sz w:val="24"/>
          <w:szCs w:val="24"/>
        </w:rPr>
        <w:t>Lisko</w:t>
      </w:r>
      <w:r>
        <w:rPr>
          <w:rFonts w:ascii="Times New Roman" w:cs="Times New Roman" w:hAnsi="Times New Roman"/>
          <w:sz w:val="24"/>
          <w:szCs w:val="24"/>
        </w:rPr>
        <w:t xml:space="preserve"> (1978), the main theories that have been used to explain corporate negligence include </w:t>
      </w:r>
      <w:r>
        <w:rPr>
          <w:rFonts w:ascii="Times New Roman" w:cs="Times New Roman" w:hAnsi="Times New Roman"/>
          <w:sz w:val="24"/>
          <w:szCs w:val="24"/>
        </w:rPr>
        <w:t>respondeat</w:t>
      </w:r>
      <w:r>
        <w:rPr>
          <w:rFonts w:ascii="Times New Roman" w:cs="Times New Roman" w:hAnsi="Times New Roman"/>
          <w:sz w:val="24"/>
          <w:szCs w:val="24"/>
        </w:rPr>
        <w:t xml:space="preserve"> superior and ostensible agency theories. According to the author, </w:t>
      </w:r>
      <w:r>
        <w:rPr>
          <w:rFonts w:ascii="Times New Roman" w:cs="Times New Roman" w:hAnsi="Times New Roman"/>
          <w:sz w:val="24"/>
          <w:szCs w:val="24"/>
        </w:rPr>
        <w:t>respondeat</w:t>
      </w:r>
      <w:r>
        <w:rPr>
          <w:rFonts w:ascii="Times New Roman" w:cs="Times New Roman" w:hAnsi="Times New Roman"/>
          <w:sz w:val="24"/>
          <w:szCs w:val="24"/>
        </w:rPr>
        <w:t xml:space="preserve"> superior theory suggests that hospitals can be held liable or accountable if their employees engage in misconduct while on duty. Patients come to hospitals with the aim and hope that they will receive the best care which will improve their health. As such, they expect that the physicians and other healthcare workers to behave and carry themselves with some degree of control and dignity. However, when they are not treated with the respect and dignity that they deserve, they can launch a legal complaint, that may result in a liability to the institution responsible for the employees. Courts may apply this theory in case a patient has launched a complaint against the hospital, but with limitations.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Ostensible agency theory is another model that can be used to explain and understand corporate negligence. However, unlike the </w:t>
      </w:r>
      <w:r>
        <w:rPr>
          <w:rFonts w:ascii="Times New Roman" w:cs="Times New Roman" w:hAnsi="Times New Roman"/>
          <w:sz w:val="24"/>
          <w:szCs w:val="24"/>
        </w:rPr>
        <w:t>respondeat</w:t>
      </w:r>
      <w:r>
        <w:rPr>
          <w:rFonts w:ascii="Times New Roman" w:cs="Times New Roman" w:hAnsi="Times New Roman"/>
          <w:sz w:val="24"/>
          <w:szCs w:val="24"/>
        </w:rPr>
        <w:t xml:space="preserve"> superior where the case involves the patient and the institution, ostensible agency theory suggests that an organization can be held liable for the liabilities of its employees if the third party involved in the misconduct is a principal-agent of the hospital (</w:t>
      </w:r>
      <w:r>
        <w:rPr>
          <w:rFonts w:ascii="Times New Roman" w:cs="Times New Roman" w:hAnsi="Times New Roman"/>
          <w:sz w:val="24"/>
          <w:szCs w:val="24"/>
        </w:rPr>
        <w:t>Lisko</w:t>
      </w:r>
      <w:r>
        <w:rPr>
          <w:rFonts w:ascii="Times New Roman" w:cs="Times New Roman" w:hAnsi="Times New Roman"/>
          <w:sz w:val="24"/>
          <w:szCs w:val="24"/>
        </w:rPr>
        <w:t>, 1978). In this case, the third party can only evade the negligence case if he or she proves three elements including belief in agent authority, the act or omission must have been generated, and reliance on agent’s authority must not have resulted in the negligence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Current Event Commentary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Yes, I believe that the legal doctrines such as ostensible agency and </w:t>
      </w:r>
      <w:r>
        <w:rPr>
          <w:rFonts w:ascii="Times New Roman" w:cs="Times New Roman" w:hAnsi="Times New Roman"/>
          <w:sz w:val="24"/>
          <w:szCs w:val="24"/>
        </w:rPr>
        <w:t>respondeat</w:t>
      </w:r>
      <w:r>
        <w:rPr>
          <w:rFonts w:ascii="Times New Roman" w:cs="Times New Roman" w:hAnsi="Times New Roman"/>
          <w:sz w:val="24"/>
          <w:szCs w:val="24"/>
        </w:rPr>
        <w:t xml:space="preserve"> superior should be used as a legal mechanisms to extend liability from a </w:t>
      </w:r>
      <w:r>
        <w:rPr>
          <w:rFonts w:ascii="Times New Roman" w:cs="Times New Roman" w:hAnsi="Times New Roman"/>
          <w:sz w:val="24"/>
          <w:szCs w:val="24"/>
        </w:rPr>
        <w:t>tortfeasor</w:t>
      </w:r>
      <w:r>
        <w:rPr>
          <w:rFonts w:ascii="Times New Roman" w:cs="Times New Roman" w:hAnsi="Times New Roman"/>
          <w:sz w:val="24"/>
          <w:szCs w:val="24"/>
        </w:rPr>
        <w:t xml:space="preserve"> to hospitals and its administrations because they have a responsibility to ensure that the people they hire are not only qualified but also licensed to operate within the area they are employed to work in. Most of the negligence in the healthcare institutions </w:t>
      </w:r>
      <w:r>
        <w:rPr>
          <w:rFonts w:ascii="Times New Roman" w:cs="Times New Roman" w:hAnsi="Times New Roman"/>
          <w:sz w:val="24"/>
          <w:szCs w:val="24"/>
        </w:rPr>
        <w:t>is</w:t>
      </w:r>
      <w:r>
        <w:rPr>
          <w:rFonts w:ascii="Times New Roman" w:cs="Times New Roman" w:hAnsi="Times New Roman"/>
          <w:sz w:val="24"/>
          <w:szCs w:val="24"/>
        </w:rPr>
        <w:t xml:space="preserve"> blamed on the administrations because they failed to consider recruitment strategies or create protocols to ensure that only qualified and competent physicians are working in the hospitals.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modules 2 and 3, I don’t think that hospital administrators should enjoy legal protection from liability caused by their employees because they are also directly involved in the negligence even if they did not cause it.  In case of negligence arises in a hospital, administrators should be blamed and held responsible first because they are the supervisors of the physicians who get involved in this negligence. As such, they need to go through the legal processes and held accountable for the liabilities.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Yes, I believe that the threat of personal or enterprise liability can actually achieve the goals of tort and criminal law by encouraging healthcare administrators to be careful and exercise due diligence to ensure that they provide compliance oversight of their workforce and the organization as a whole. I believe that the organization can be effective if its administrators are also effective. As such, it would be impossible to separate the administrator from the mistakes or misconducts that happen in the organization. The threat of persona and enterprise liability will help caution the administrators to improve their oversight role to ensure that no employee engages in any misconduct because they know that they can be easily held liable just the same way the employees are also held to account for their actions.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w:t>
      </w:r>
      <w:bookmarkStart w:id="0" w:name="_GoBack"/>
      <w:bookmarkEnd w:id="0"/>
      <w:r>
        <w:rPr>
          <w:rFonts w:ascii="Times New Roman" w:cs="Times New Roman" w:hAnsi="Times New Roman"/>
          <w:sz w:val="24"/>
          <w:szCs w:val="24"/>
        </w:rPr>
        <w:t>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Culica</w:t>
      </w:r>
      <w:r>
        <w:rPr>
          <w:rFonts w:ascii="Times New Roman" w:cs="Times New Roman" w:hAnsi="Times New Roman"/>
          <w:sz w:val="24"/>
          <w:szCs w:val="24"/>
          <w:shd w:val="clear" w:color="auto" w:fill="ffffff"/>
        </w:rPr>
        <w:t xml:space="preserve">, D., &amp; </w:t>
      </w:r>
      <w:r>
        <w:rPr>
          <w:rFonts w:ascii="Times New Roman" w:cs="Times New Roman" w:hAnsi="Times New Roman"/>
          <w:sz w:val="24"/>
          <w:szCs w:val="24"/>
          <w:shd w:val="clear" w:color="auto" w:fill="ffffff"/>
        </w:rPr>
        <w:t>Prezio</w:t>
      </w:r>
      <w:r>
        <w:rPr>
          <w:rFonts w:ascii="Times New Roman" w:cs="Times New Roman" w:hAnsi="Times New Roman"/>
          <w:sz w:val="24"/>
          <w:szCs w:val="24"/>
          <w:shd w:val="clear" w:color="auto" w:fill="ffffff"/>
        </w:rPr>
        <w:t>, E. (2009).</w:t>
      </w:r>
      <w:r>
        <w:rPr>
          <w:rFonts w:ascii="Times New Roman" w:cs="Times New Roman" w:hAnsi="Times New Roman"/>
          <w:sz w:val="24"/>
          <w:szCs w:val="24"/>
          <w:shd w:val="clear" w:color="auto" w:fill="ffffff"/>
        </w:rPr>
        <w:t xml:space="preserve"> Hospital board infrastructure and functions: the role of governance in financial performance. </w:t>
      </w:r>
      <w:r>
        <w:rPr>
          <w:rFonts w:ascii="Times New Roman" w:cs="Times New Roman" w:hAnsi="Times New Roman"/>
          <w:i/>
          <w:iCs/>
          <w:sz w:val="24"/>
          <w:szCs w:val="24"/>
          <w:shd w:val="clear" w:color="auto" w:fill="ffffff"/>
        </w:rPr>
        <w:t>International journal of environmental research and public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6</w:t>
      </w:r>
      <w:r>
        <w:rPr>
          <w:rFonts w:ascii="Times New Roman" w:cs="Times New Roman" w:hAnsi="Times New Roman"/>
          <w:sz w:val="24"/>
          <w:szCs w:val="24"/>
          <w:shd w:val="clear" w:color="auto" w:fill="ffffff"/>
        </w:rPr>
        <w:t>(3), 862-873.</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Gray</w:t>
      </w:r>
      <w:r>
        <w:rPr>
          <w:rFonts w:ascii="Times New Roman" w:cs="Times New Roman" w:hAnsi="Times New Roman"/>
          <w:sz w:val="24"/>
          <w:szCs w:val="24"/>
          <w:shd w:val="clear" w:color="auto" w:fill="ffffff"/>
        </w:rPr>
        <w:t xml:space="preserve">, B. H. (1983). </w:t>
      </w:r>
      <w:r>
        <w:rPr>
          <w:rFonts w:ascii="Times New Roman" w:cs="Times New Roman" w:hAnsi="Times New Roman"/>
          <w:sz w:val="24"/>
          <w:szCs w:val="24"/>
          <w:shd w:val="clear" w:color="auto" w:fill="ffffff"/>
        </w:rPr>
        <w:t xml:space="preserve">Legal Differences between Investor-Owned and </w:t>
      </w:r>
      <w:r>
        <w:rPr>
          <w:rFonts w:ascii="Times New Roman" w:cs="Times New Roman" w:hAnsi="Times New Roman"/>
          <w:sz w:val="24"/>
          <w:szCs w:val="24"/>
          <w:shd w:val="clear" w:color="auto" w:fill="ffffff"/>
        </w:rPr>
        <w:t>Nonprofit</w:t>
      </w:r>
      <w:r>
        <w:rPr>
          <w:rFonts w:ascii="Times New Roman" w:cs="Times New Roman" w:hAnsi="Times New Roman"/>
          <w:sz w:val="24"/>
          <w:szCs w:val="24"/>
          <w:shd w:val="clear" w:color="auto" w:fill="ffffff"/>
        </w:rPr>
        <w:t xml:space="preserve"> Health Care Institutions.</w:t>
      </w:r>
      <w:r>
        <w:rPr>
          <w:rFonts w:ascii="Times New Roman" w:cs="Times New Roman" w:hAnsi="Times New Roman"/>
          <w:sz w:val="24"/>
          <w:szCs w:val="24"/>
          <w:shd w:val="clear" w:color="auto" w:fill="ffffff"/>
        </w:rPr>
        <w:t xml:space="preserve"> In </w:t>
      </w:r>
      <w:r>
        <w:rPr>
          <w:rFonts w:ascii="Times New Roman" w:cs="Times New Roman" w:hAnsi="Times New Roman"/>
          <w:i/>
          <w:iCs/>
          <w:sz w:val="24"/>
          <w:szCs w:val="24"/>
          <w:shd w:val="clear" w:color="auto" w:fill="ffffff"/>
        </w:rPr>
        <w:t>The New Health Care for Profit: Doctors and Hospitals in a Competitive Environment</w:t>
      </w:r>
      <w:r>
        <w:rPr>
          <w:rFonts w:ascii="Times New Roman" w:cs="Times New Roman" w:hAnsi="Times New Roman"/>
          <w:sz w:val="24"/>
          <w:szCs w:val="24"/>
          <w:shd w:val="clear" w:color="auto" w:fill="ffffff"/>
        </w:rPr>
        <w:t>. National Academies Press (US).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Lisko</w:t>
      </w:r>
      <w:r>
        <w:rPr>
          <w:rFonts w:ascii="Times New Roman" w:cs="Times New Roman" w:hAnsi="Times New Roman"/>
          <w:sz w:val="24"/>
          <w:szCs w:val="24"/>
          <w:shd w:val="clear" w:color="auto" w:fill="ffffff"/>
        </w:rPr>
        <w:t xml:space="preserve">, R. K. (1978). Hospital Liability </w:t>
      </w:r>
      <w:r>
        <w:rPr>
          <w:rFonts w:ascii="Times New Roman" w:cs="Times New Roman" w:hAnsi="Times New Roman"/>
          <w:sz w:val="24"/>
          <w:szCs w:val="24"/>
          <w:shd w:val="clear" w:color="auto" w:fill="ffffff"/>
        </w:rPr>
        <w:t>Under</w:t>
      </w:r>
      <w:r>
        <w:rPr>
          <w:rFonts w:ascii="Times New Roman" w:cs="Times New Roman" w:hAnsi="Times New Roman"/>
          <w:sz w:val="24"/>
          <w:szCs w:val="24"/>
          <w:shd w:val="clear" w:color="auto" w:fill="ffffff"/>
        </w:rPr>
        <w:t xml:space="preserve"> Theories of </w:t>
      </w:r>
      <w:r>
        <w:rPr>
          <w:rFonts w:ascii="Times New Roman" w:cs="Times New Roman" w:hAnsi="Times New Roman"/>
          <w:sz w:val="24"/>
          <w:szCs w:val="24"/>
          <w:shd w:val="clear" w:color="auto" w:fill="ffffff"/>
        </w:rPr>
        <w:t>Respondeat</w:t>
      </w:r>
      <w:r>
        <w:rPr>
          <w:rFonts w:ascii="Times New Roman" w:cs="Times New Roman" w:hAnsi="Times New Roman"/>
          <w:sz w:val="24"/>
          <w:szCs w:val="24"/>
          <w:shd w:val="clear" w:color="auto" w:fill="ffffff"/>
        </w:rPr>
        <w:t xml:space="preserve"> Superior and Corporate Negligence. </w:t>
      </w:r>
      <w:r>
        <w:rPr>
          <w:rFonts w:ascii="Times New Roman" w:cs="Times New Roman" w:hAnsi="Times New Roman"/>
          <w:i/>
          <w:iCs/>
          <w:sz w:val="24"/>
          <w:szCs w:val="24"/>
          <w:shd w:val="clear" w:color="auto" w:fill="ffffff"/>
        </w:rPr>
        <w:t>UMKC L. Rev.</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47</w:t>
      </w:r>
      <w:r>
        <w:rPr>
          <w:rFonts w:ascii="Times New Roman" w:cs="Times New Roman" w:hAnsi="Times New Roman"/>
          <w:sz w:val="24"/>
          <w:szCs w:val="24"/>
          <w:shd w:val="clear" w:color="auto" w:fill="ffffff"/>
        </w:rPr>
        <w:t>, 171.</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Patel, R., &amp; Sharma, S. (2019). </w:t>
      </w:r>
      <w:r>
        <w:rPr>
          <w:rFonts w:ascii="Times New Roman" w:cs="Times New Roman" w:hAnsi="Times New Roman"/>
          <w:sz w:val="24"/>
          <w:szCs w:val="24"/>
          <w:shd w:val="clear" w:color="auto" w:fill="ffffff"/>
        </w:rPr>
        <w:t>Credentialing.</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StatPearls</w:t>
      </w:r>
      <w:r>
        <w:rPr>
          <w:rFonts w:ascii="Times New Roman" w:cs="Times New Roman" w:hAnsi="Times New Roman"/>
          <w:sz w:val="24"/>
          <w:szCs w:val="24"/>
          <w:shd w:val="clear" w:color="auto" w:fill="ffffff"/>
        </w:rPr>
        <w:t>.</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Shensky</w:t>
      </w:r>
      <w:r>
        <w:rPr>
          <w:rFonts w:ascii="Times New Roman" w:cs="Times New Roman" w:hAnsi="Times New Roman"/>
          <w:sz w:val="24"/>
          <w:szCs w:val="24"/>
          <w:shd w:val="clear" w:color="auto" w:fill="ffffff"/>
        </w:rPr>
        <w:t xml:space="preserve">, S. E. (2015 December, 10). </w:t>
      </w:r>
      <w:r>
        <w:rPr>
          <w:rFonts w:ascii="Times New Roman" w:cs="Times New Roman" w:hAnsi="Times New Roman"/>
          <w:sz w:val="24"/>
          <w:szCs w:val="24"/>
          <w:shd w:val="clear" w:color="auto" w:fill="ffffff"/>
        </w:rPr>
        <w:t>“Corporate Negligence in Medical Malpractice.”</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The National Law Review.</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"https://www.natlawreview.com/article/corporate-negligence-medical-malpractice" </w:instrText>
      </w:r>
      <w:r>
        <w:rPr/>
        <w:fldChar w:fldCharType="separate"/>
      </w:r>
      <w:r>
        <w:rPr>
          <w:rStyle w:val="style85"/>
          <w:rFonts w:ascii="Times New Roman" w:cs="Times New Roman" w:hAnsi="Times New Roman"/>
          <w:color w:val="auto"/>
          <w:sz w:val="24"/>
          <w:szCs w:val="24"/>
          <w:u w:val="none"/>
        </w:rPr>
        <w:t>https://www.natlawreview.com/article/corporate-negligence-medical-malpractice</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Thornton, R. G. (2010, July). </w:t>
      </w:r>
      <w:r>
        <w:rPr>
          <w:rFonts w:ascii="Times New Roman" w:cs="Times New Roman" w:hAnsi="Times New Roman"/>
          <w:sz w:val="24"/>
          <w:szCs w:val="24"/>
          <w:shd w:val="clear" w:color="auto" w:fill="ffffff"/>
        </w:rPr>
        <w:t>Responsibility for the acts of others.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 xml:space="preserve">Baylor University Medical </w:t>
      </w:r>
      <w:r>
        <w:rPr>
          <w:rFonts w:ascii="Times New Roman" w:cs="Times New Roman" w:hAnsi="Times New Roman"/>
          <w:i/>
          <w:iCs/>
          <w:sz w:val="24"/>
          <w:szCs w:val="24"/>
          <w:shd w:val="clear" w:color="auto" w:fill="ffffff"/>
        </w:rPr>
        <w:t>Center</w:t>
      </w:r>
      <w:r>
        <w:rPr>
          <w:rFonts w:ascii="Times New Roman" w:cs="Times New Roman" w:hAnsi="Times New Roman"/>
          <w:i/>
          <w:iCs/>
          <w:sz w:val="24"/>
          <w:szCs w:val="24"/>
          <w:shd w:val="clear" w:color="auto" w:fill="ffffff"/>
        </w:rPr>
        <w:t xml:space="preserve"> Proceedings</w:t>
      </w:r>
      <w:r>
        <w:rPr>
          <w:rFonts w:ascii="Times New Roman" w:cs="Times New Roman" w:hAnsi="Times New Roman"/>
          <w:sz w:val="24"/>
          <w:szCs w:val="24"/>
          <w:shd w:val="clear" w:color="auto" w:fill="ffffff"/>
        </w:rPr>
        <w:t> (Vol. 23, No. 3, pp. 313-315).</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Taylor &amp; Francis.</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HEALTHCARE LIABILITY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HEALTHCARE LIABILITY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C76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e538db9-ccb3-46fd-885f-a3c7181374b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28ee9c8-b0af-49d3-ba04-36b772956f98"/>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2123</Words>
  <Pages>9</Pages>
  <Characters>11763</Characters>
  <Application>WPS Office</Application>
  <DocSecurity>0</DocSecurity>
  <Paragraphs>67</Paragraphs>
  <ScaleCrop>false</ScaleCrop>
  <LinksUpToDate>false</LinksUpToDate>
  <CharactersWithSpaces>13867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2020-02-04T17:14:15Z</dcterms:created>
  <dc:creator>Hp</dc:creator>
  <lastModifiedBy>JKM-LX1</lastModifiedBy>
  <dcterms:modified xsi:type="dcterms:W3CDTF">2020-02-04T17:14:15Z</dcterms:modified>
  <revision>5</revision>
</coreProperties>
</file>

<file path=docProps/custom.xml><?xml version="1.0" encoding="utf-8"?>
<Properties xmlns="http://schemas.openxmlformats.org/officeDocument/2006/custom-properties" xmlns:vt="http://schemas.openxmlformats.org/officeDocument/2006/docPropsVTypes"/>
</file>